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5B0" w:rsidRDefault="005145B0" w:rsidP="005145B0">
      <w:pPr>
        <w:jc w:val="center"/>
        <w:rPr>
          <w:b/>
          <w:i/>
        </w:rPr>
      </w:pPr>
      <w:r w:rsidRPr="008905E3">
        <w:rPr>
          <w:b/>
          <w:sz w:val="32"/>
          <w:szCs w:val="32"/>
        </w:rPr>
        <w:t>Проведение Ознакомительного теста</w:t>
      </w:r>
    </w:p>
    <w:p w:rsidR="005145B0" w:rsidRDefault="005145B0" w:rsidP="005145B0">
      <w:pPr>
        <w:jc w:val="center"/>
        <w:rPr>
          <w:b/>
          <w:i/>
        </w:rPr>
      </w:pPr>
    </w:p>
    <w:p w:rsidR="005145B0" w:rsidRPr="009337B8" w:rsidRDefault="005145B0" w:rsidP="005145B0">
      <w:pPr>
        <w:jc w:val="center"/>
        <w:rPr>
          <w:b/>
        </w:rPr>
      </w:pPr>
      <w:r w:rsidRPr="009337B8">
        <w:rPr>
          <w:b/>
          <w:i/>
        </w:rPr>
        <w:t>Установка  датчиков</w:t>
      </w:r>
    </w:p>
    <w:p w:rsidR="00F67982" w:rsidRPr="008E0FAD" w:rsidRDefault="00F67982" w:rsidP="00F67982">
      <w:pPr>
        <w:spacing w:before="120"/>
        <w:ind w:firstLine="709"/>
        <w:jc w:val="both"/>
      </w:pPr>
      <w:r>
        <w:t xml:space="preserve">Перед началом работы </w:t>
      </w:r>
      <w:r w:rsidRPr="008E0FAD">
        <w:t xml:space="preserve">на теле </w:t>
      </w:r>
      <w:r>
        <w:t>тестируемого</w:t>
      </w:r>
      <w:r w:rsidRPr="008E0FAD">
        <w:t xml:space="preserve"> производится </w:t>
      </w:r>
      <w:r>
        <w:t>у</w:t>
      </w:r>
      <w:r w:rsidRPr="008E0FAD">
        <w:t>становка датчиков</w:t>
      </w:r>
      <w:r>
        <w:t xml:space="preserve">. </w:t>
      </w:r>
      <w:r w:rsidRPr="008E0FAD">
        <w:t xml:space="preserve">Перед </w:t>
      </w:r>
      <w:r>
        <w:t xml:space="preserve">их </w:t>
      </w:r>
      <w:r w:rsidRPr="008E0FAD">
        <w:t xml:space="preserve">установкой </w:t>
      </w:r>
      <w:r>
        <w:t>тестируемому</w:t>
      </w:r>
      <w:r w:rsidRPr="008E0FAD">
        <w:t xml:space="preserve"> предлагается </w:t>
      </w:r>
      <w:r>
        <w:t>при необходимости</w:t>
      </w:r>
      <w:r w:rsidRPr="008E0FAD">
        <w:t xml:space="preserve"> посетить туалет. Если руки у </w:t>
      </w:r>
      <w:r w:rsidRPr="00382FB0">
        <w:t>тестируемого</w:t>
      </w:r>
      <w:r w:rsidRPr="008E0FAD">
        <w:t xml:space="preserve"> холодные, желательно предложить ему их вымыть теплой водой с мылом. Попросить снять пиджак, галстук и наручные часы, </w:t>
      </w:r>
      <w:r>
        <w:t>переключить</w:t>
      </w:r>
      <w:r w:rsidRPr="008E0FAD">
        <w:t xml:space="preserve"> мо</w:t>
      </w:r>
      <w:r>
        <w:t>бильный телефон в беззвучный режим</w:t>
      </w:r>
      <w:r w:rsidRPr="008E0FAD">
        <w:t>.</w:t>
      </w:r>
    </w:p>
    <w:p w:rsidR="00F67982" w:rsidRPr="008E0FAD" w:rsidRDefault="00F67982" w:rsidP="00F67982">
      <w:pPr>
        <w:ind w:firstLine="709"/>
        <w:jc w:val="both"/>
      </w:pPr>
      <w:r w:rsidRPr="008E0FAD">
        <w:t>Датчики укрепляются в следующей последовательности:</w:t>
      </w:r>
    </w:p>
    <w:p w:rsidR="00F67982" w:rsidRDefault="00F67982" w:rsidP="00F67982">
      <w:pPr>
        <w:numPr>
          <w:ilvl w:val="0"/>
          <w:numId w:val="4"/>
        </w:numPr>
        <w:tabs>
          <w:tab w:val="clear" w:pos="360"/>
          <w:tab w:val="num" w:pos="993"/>
        </w:tabs>
        <w:overflowPunct w:val="0"/>
        <w:autoSpaceDE w:val="0"/>
        <w:autoSpaceDN w:val="0"/>
        <w:adjustRightInd w:val="0"/>
        <w:ind w:left="993" w:hanging="426"/>
        <w:jc w:val="both"/>
        <w:textAlignment w:val="baseline"/>
      </w:pPr>
      <w:r w:rsidRPr="008E0FAD">
        <w:t xml:space="preserve">Под </w:t>
      </w:r>
      <w:r>
        <w:t xml:space="preserve">две передние </w:t>
      </w:r>
      <w:r w:rsidRPr="008E0FAD">
        <w:t xml:space="preserve">ножки стула (или кресла), на котором будет сидеть </w:t>
      </w:r>
      <w:r>
        <w:t>тестируемый</w:t>
      </w:r>
      <w:r w:rsidRPr="008E0FAD">
        <w:t xml:space="preserve">, </w:t>
      </w:r>
      <w:r>
        <w:t>должен</w:t>
      </w:r>
      <w:r w:rsidRPr="008E0FAD">
        <w:t xml:space="preserve"> быть заранее установлен да</w:t>
      </w:r>
      <w:r>
        <w:t>тчик двигательной активности (ТРМ</w:t>
      </w:r>
      <w:r w:rsidRPr="008E0FAD">
        <w:t xml:space="preserve">). </w:t>
      </w:r>
    </w:p>
    <w:p w:rsidR="00F67982" w:rsidRPr="008E0FAD" w:rsidRDefault="00F67982" w:rsidP="00F67982">
      <w:pPr>
        <w:numPr>
          <w:ilvl w:val="0"/>
          <w:numId w:val="4"/>
        </w:numPr>
        <w:tabs>
          <w:tab w:val="clear" w:pos="360"/>
          <w:tab w:val="num" w:pos="993"/>
        </w:tabs>
        <w:overflowPunct w:val="0"/>
        <w:autoSpaceDE w:val="0"/>
        <w:autoSpaceDN w:val="0"/>
        <w:adjustRightInd w:val="0"/>
        <w:ind w:left="993" w:hanging="426"/>
        <w:jc w:val="both"/>
        <w:textAlignment w:val="baseline"/>
      </w:pPr>
      <w:r>
        <w:t>После</w:t>
      </w:r>
      <w:r w:rsidRPr="008E0FAD">
        <w:t xml:space="preserve"> того, как </w:t>
      </w:r>
      <w:r>
        <w:t>тестируемый</w:t>
      </w:r>
      <w:r w:rsidRPr="008E0FAD">
        <w:t xml:space="preserve"> сел в кресло, на </w:t>
      </w:r>
      <w:r>
        <w:t>его теле укрепляются</w:t>
      </w:r>
      <w:r w:rsidRPr="008E0FAD">
        <w:t xml:space="preserve"> </w:t>
      </w:r>
      <w:r>
        <w:t>цепочки</w:t>
      </w:r>
      <w:r w:rsidRPr="008E0FAD">
        <w:t xml:space="preserve"> датчиков </w:t>
      </w:r>
      <w:r>
        <w:t>верхнего</w:t>
      </w:r>
      <w:r w:rsidRPr="008E0FAD">
        <w:t xml:space="preserve"> и </w:t>
      </w:r>
      <w:r>
        <w:t>нижнего</w:t>
      </w:r>
      <w:r w:rsidRPr="008E0FAD">
        <w:t xml:space="preserve"> дыхания соответственно на груди выше линии сосков и на уровне</w:t>
      </w:r>
      <w:r>
        <w:t xml:space="preserve"> границы</w:t>
      </w:r>
      <w:r w:rsidRPr="008E0FAD">
        <w:t xml:space="preserve"> живота</w:t>
      </w:r>
      <w:r>
        <w:t xml:space="preserve"> и грудной клетки</w:t>
      </w:r>
      <w:r w:rsidRPr="008E0FAD">
        <w:t>.</w:t>
      </w:r>
      <w:r>
        <w:t xml:space="preserve"> Сначала устанавливается датчик нижнего дыхания (НДХ), а затем – верхнего (ВДХ).</w:t>
      </w:r>
    </w:p>
    <w:p w:rsidR="00F67982" w:rsidRPr="008E0FAD" w:rsidRDefault="00F67982" w:rsidP="00F67982">
      <w:pPr>
        <w:numPr>
          <w:ilvl w:val="0"/>
          <w:numId w:val="4"/>
        </w:numPr>
        <w:tabs>
          <w:tab w:val="clear" w:pos="360"/>
          <w:tab w:val="num" w:pos="993"/>
        </w:tabs>
        <w:overflowPunct w:val="0"/>
        <w:autoSpaceDE w:val="0"/>
        <w:autoSpaceDN w:val="0"/>
        <w:adjustRightInd w:val="0"/>
        <w:ind w:left="993" w:hanging="426"/>
        <w:jc w:val="both"/>
        <w:textAlignment w:val="baseline"/>
      </w:pPr>
      <w:r>
        <w:t>На плече руки закрепляется</w:t>
      </w:r>
      <w:r w:rsidRPr="008E0FAD">
        <w:t xml:space="preserve"> манжета </w:t>
      </w:r>
      <w:r>
        <w:t>датчика</w:t>
      </w:r>
      <w:r w:rsidRPr="008E0FAD">
        <w:t xml:space="preserve"> артериального давления (АД). Для повышения комфортности манжета </w:t>
      </w:r>
      <w:r>
        <w:t xml:space="preserve">может быть установлена </w:t>
      </w:r>
      <w:r w:rsidRPr="008E0FAD">
        <w:t>поверх рукава рубашки.</w:t>
      </w:r>
      <w:r>
        <w:t xml:space="preserve"> Для получения стабильного показателя АД необходимо, чтобы рука с датчиком находилась либо на подлокотнике кресла, либо на краю рабочего стола.</w:t>
      </w:r>
    </w:p>
    <w:p w:rsidR="00F67982" w:rsidRPr="008E0FAD" w:rsidRDefault="00F67982" w:rsidP="00F67982">
      <w:pPr>
        <w:numPr>
          <w:ilvl w:val="0"/>
          <w:numId w:val="4"/>
        </w:numPr>
        <w:tabs>
          <w:tab w:val="clear" w:pos="360"/>
          <w:tab w:val="num" w:pos="993"/>
        </w:tabs>
        <w:overflowPunct w:val="0"/>
        <w:autoSpaceDE w:val="0"/>
        <w:autoSpaceDN w:val="0"/>
        <w:adjustRightInd w:val="0"/>
        <w:ind w:left="993" w:hanging="426"/>
        <w:jc w:val="both"/>
        <w:textAlignment w:val="baseline"/>
      </w:pPr>
      <w:r w:rsidRPr="008E0FAD">
        <w:t>На указательный и безымянный пальцы левой руки (в том случае, если</w:t>
      </w:r>
      <w:r>
        <w:t xml:space="preserve"> рабочей рукой является правая)</w:t>
      </w:r>
      <w:r w:rsidRPr="008E0FAD">
        <w:t xml:space="preserve"> укрепляются</w:t>
      </w:r>
      <w:r>
        <w:t>,</w:t>
      </w:r>
      <w:r w:rsidRPr="008E0FAD">
        <w:t xml:space="preserve"> предварительно протертые салфеткой, смоченной спиртовым раствором, два металлических электрода для регистрации </w:t>
      </w:r>
      <w:proofErr w:type="spellStart"/>
      <w:r w:rsidRPr="008E0FAD">
        <w:t>кожногальванической</w:t>
      </w:r>
      <w:proofErr w:type="spellEnd"/>
      <w:r w:rsidRPr="008E0FAD">
        <w:t xml:space="preserve"> реакции (КГР). Для улучшения контакта кожи с электро</w:t>
      </w:r>
      <w:r>
        <w:t>дом можно использовать</w:t>
      </w:r>
      <w:r w:rsidRPr="008E0FAD">
        <w:t xml:space="preserve"> электропроводный гель.</w:t>
      </w:r>
    </w:p>
    <w:p w:rsidR="00F67982" w:rsidRPr="008E0FAD" w:rsidRDefault="00F67982" w:rsidP="00F67982">
      <w:pPr>
        <w:numPr>
          <w:ilvl w:val="0"/>
          <w:numId w:val="4"/>
        </w:numPr>
        <w:tabs>
          <w:tab w:val="clear" w:pos="360"/>
          <w:tab w:val="num" w:pos="993"/>
        </w:tabs>
        <w:overflowPunct w:val="0"/>
        <w:autoSpaceDE w:val="0"/>
        <w:autoSpaceDN w:val="0"/>
        <w:adjustRightInd w:val="0"/>
        <w:ind w:left="993" w:hanging="426"/>
        <w:jc w:val="both"/>
        <w:textAlignment w:val="baseline"/>
      </w:pPr>
      <w:r w:rsidRPr="008E0FAD">
        <w:t xml:space="preserve">На </w:t>
      </w:r>
      <w:r>
        <w:t>руке,</w:t>
      </w:r>
      <w:r w:rsidRPr="008E0FAD">
        <w:t xml:space="preserve"> на которой не установлен</w:t>
      </w:r>
      <w:r>
        <w:t>а манжета, устанавливается д</w:t>
      </w:r>
      <w:r w:rsidRPr="008E0FAD">
        <w:t xml:space="preserve">атчик фотоплетизмограммы (ФПГ), предназначенный для регистрации реакции </w:t>
      </w:r>
      <w:r>
        <w:t xml:space="preserve">изменения кровенаполнения </w:t>
      </w:r>
      <w:r w:rsidRPr="008E0FAD">
        <w:t>периферических со</w:t>
      </w:r>
      <w:r>
        <w:t>судов. Датчик</w:t>
      </w:r>
      <w:r w:rsidRPr="008E0FAD">
        <w:t xml:space="preserve"> устанавливается на средний палец руки.</w:t>
      </w:r>
    </w:p>
    <w:p w:rsidR="00F67982" w:rsidRPr="008E0FAD" w:rsidRDefault="00F67982" w:rsidP="00F67982">
      <w:pPr>
        <w:ind w:firstLine="709"/>
        <w:jc w:val="both"/>
      </w:pPr>
      <w:r>
        <w:t>Для качественной регистрации сигналов т</w:t>
      </w:r>
      <w:r w:rsidRPr="008E0FAD">
        <w:t xml:space="preserve">емпература датчиков КГР и ФПГ должна сравняться с температурой тела </w:t>
      </w:r>
      <w:r w:rsidRPr="00382FB0">
        <w:t>тестируемого</w:t>
      </w:r>
      <w:r w:rsidRPr="008E0FAD">
        <w:t xml:space="preserve"> до того, как начнется предъявление тестов. </w:t>
      </w:r>
      <w:r>
        <w:t>П</w:t>
      </w:r>
      <w:r w:rsidRPr="008E0FAD">
        <w:t xml:space="preserve">оэтому </w:t>
      </w:r>
      <w:r>
        <w:t>после их установки необходимо подождать 2-3 минуты до начала тестирования</w:t>
      </w:r>
      <w:r w:rsidRPr="008E0FAD">
        <w:t>.</w:t>
      </w:r>
    </w:p>
    <w:p w:rsidR="00F67982" w:rsidRDefault="00F67982" w:rsidP="00F67982">
      <w:pPr>
        <w:spacing w:before="120" w:after="120"/>
        <w:rPr>
          <w:b/>
          <w:i/>
        </w:rPr>
      </w:pPr>
    </w:p>
    <w:p w:rsidR="00F67982" w:rsidRDefault="00F67982" w:rsidP="00F67982">
      <w:pPr>
        <w:spacing w:before="120" w:after="120"/>
        <w:rPr>
          <w:b/>
          <w:i/>
        </w:rPr>
      </w:pPr>
    </w:p>
    <w:p w:rsidR="00F67982" w:rsidRPr="005678C9" w:rsidRDefault="00F67982" w:rsidP="00F67982">
      <w:pPr>
        <w:spacing w:before="120" w:after="120"/>
        <w:jc w:val="center"/>
        <w:rPr>
          <w:b/>
          <w:i/>
        </w:rPr>
      </w:pPr>
      <w:r>
        <w:rPr>
          <w:b/>
          <w:i/>
        </w:rPr>
        <w:t>Освоение записи фона</w:t>
      </w:r>
    </w:p>
    <w:p w:rsidR="00F67982" w:rsidRPr="00BA6B80" w:rsidRDefault="00F67982" w:rsidP="00F67982">
      <w:pPr>
        <w:ind w:firstLine="709"/>
        <w:jc w:val="both"/>
      </w:pPr>
      <w:r w:rsidRPr="00BA6B80">
        <w:t xml:space="preserve">По участкам полиграмм с фоновой записью физиологических показателей </w:t>
      </w:r>
      <w:r>
        <w:t>тестируемого</w:t>
      </w:r>
      <w:r w:rsidRPr="008E0FAD">
        <w:t xml:space="preserve"> </w:t>
      </w:r>
      <w:r w:rsidRPr="00BA6B80">
        <w:t>до начала и после окончания теста полиграфолог оценивает КГР-реактивность (плотность реакций на внешние стимулы) и спонтанную (без видимых причин) КГР-активность (плотность реакций на внутренние стимулы), отражающие уровень психофи</w:t>
      </w:r>
      <w:r>
        <w:t>зиологической активации</w:t>
      </w:r>
      <w:r w:rsidRPr="00BA6B80">
        <w:t xml:space="preserve"> </w:t>
      </w:r>
      <w:r>
        <w:t>тестируемого</w:t>
      </w:r>
      <w:r w:rsidRPr="00BA6B80">
        <w:t>.</w:t>
      </w:r>
    </w:p>
    <w:p w:rsidR="00F67982" w:rsidRPr="00BA6B80" w:rsidRDefault="00F67982" w:rsidP="00F67982">
      <w:pPr>
        <w:ind w:firstLine="709"/>
        <w:jc w:val="both"/>
      </w:pPr>
      <w:r w:rsidRPr="00BA6B80">
        <w:t xml:space="preserve">Низкий уровень КГР-активности или КГР-стабильность </w:t>
      </w:r>
      <w:r>
        <w:t>тестируемого</w:t>
      </w:r>
      <w:r w:rsidRPr="008E0FAD">
        <w:t xml:space="preserve"> </w:t>
      </w:r>
      <w:r w:rsidRPr="00BA6B80">
        <w:t xml:space="preserve">имеет место при количестве спонтанных </w:t>
      </w:r>
      <w:r w:rsidRPr="00337FC6">
        <w:rPr>
          <w:u w:val="single"/>
        </w:rPr>
        <w:t xml:space="preserve">всплесков </w:t>
      </w:r>
      <w:r w:rsidRPr="001274FA">
        <w:rPr>
          <w:u w:val="single"/>
        </w:rPr>
        <w:t xml:space="preserve">КГР </w:t>
      </w:r>
      <w:r w:rsidRPr="00337FC6">
        <w:rPr>
          <w:u w:val="single"/>
        </w:rPr>
        <w:t>менее 2 за 3 минуты фоновой записи</w:t>
      </w:r>
      <w:r w:rsidRPr="00BA6B80">
        <w:t xml:space="preserve">. Низкий уровень КГР-реактивности (очень слабые реакции на внешние стимулы) может указывать на высокий уровень психопатии </w:t>
      </w:r>
      <w:r>
        <w:t>тестируемого</w:t>
      </w:r>
      <w:r w:rsidRPr="00BA6B80">
        <w:t>, что является одним из факторов повышения вероятности ложноотрицате</w:t>
      </w:r>
      <w:r>
        <w:t>льных выводов по результатам психофизиологического тестирования.</w:t>
      </w:r>
    </w:p>
    <w:p w:rsidR="00F67982" w:rsidRPr="00BA6B80" w:rsidRDefault="00F67982" w:rsidP="00F67982">
      <w:pPr>
        <w:ind w:firstLine="709"/>
        <w:jc w:val="both"/>
      </w:pPr>
      <w:r>
        <w:t>Спонтанная КГР-</w:t>
      </w:r>
      <w:r w:rsidRPr="00BA6B80">
        <w:t xml:space="preserve">активность считается высокой, а </w:t>
      </w:r>
      <w:r>
        <w:t>тестируемый</w:t>
      </w:r>
      <w:r w:rsidRPr="008E0FAD">
        <w:t xml:space="preserve"> </w:t>
      </w:r>
      <w:r w:rsidRPr="00BA6B80">
        <w:t xml:space="preserve">признается КГР-лабильным в том случае, когда количество спонтанных </w:t>
      </w:r>
      <w:r w:rsidRPr="00337FC6">
        <w:rPr>
          <w:u w:val="single"/>
        </w:rPr>
        <w:t xml:space="preserve">всплесков </w:t>
      </w:r>
      <w:r w:rsidRPr="001274FA">
        <w:rPr>
          <w:u w:val="single"/>
        </w:rPr>
        <w:t xml:space="preserve">КГР </w:t>
      </w:r>
      <w:r w:rsidRPr="00337FC6">
        <w:rPr>
          <w:u w:val="single"/>
        </w:rPr>
        <w:t>превышает 10 за 3 минуты</w:t>
      </w:r>
      <w:r w:rsidRPr="00BA6B80">
        <w:t>.</w:t>
      </w:r>
    </w:p>
    <w:p w:rsidR="00F67982" w:rsidRPr="00BA6B80" w:rsidRDefault="00F67982" w:rsidP="00F67982">
      <w:pPr>
        <w:ind w:firstLine="709"/>
        <w:jc w:val="both"/>
      </w:pPr>
      <w:r w:rsidRPr="00BA6B80">
        <w:lastRenderedPageBreak/>
        <w:t xml:space="preserve">Высокая или низкая спонтанная КГР-активность является относительно устойчивой психофизиологической характеристикой человека и может указывать на наличие у </w:t>
      </w:r>
      <w:r>
        <w:t>тестируемого</w:t>
      </w:r>
      <w:r w:rsidRPr="008E0FAD">
        <w:t xml:space="preserve"> </w:t>
      </w:r>
      <w:r w:rsidRPr="00BA6B80">
        <w:t>ха</w:t>
      </w:r>
      <w:r>
        <w:t>рактерного психологического профиля</w:t>
      </w:r>
      <w:r w:rsidRPr="00BA6B80">
        <w:t xml:space="preserve"> </w:t>
      </w:r>
      <w:r w:rsidRPr="00241B89">
        <w:t xml:space="preserve">поведения </w:t>
      </w:r>
      <w:r w:rsidRPr="00241B89">
        <w:rPr>
          <w:b/>
        </w:rPr>
        <w:t xml:space="preserve">«А» </w:t>
      </w:r>
      <w:r w:rsidRPr="00241B89">
        <w:t xml:space="preserve">(эмоциональная лабильность) или </w:t>
      </w:r>
      <w:r w:rsidRPr="00241B89">
        <w:rPr>
          <w:b/>
        </w:rPr>
        <w:t>«В»</w:t>
      </w:r>
      <w:r>
        <w:t xml:space="preserve"> (эмоциональная устойчивость),</w:t>
      </w:r>
      <w:r w:rsidRPr="00BA6B80">
        <w:t xml:space="preserve"> соответственно.</w:t>
      </w:r>
    </w:p>
    <w:p w:rsidR="00F67982" w:rsidRPr="00BA6B80" w:rsidRDefault="00F67982" w:rsidP="00F67982">
      <w:pPr>
        <w:ind w:firstLine="709"/>
        <w:jc w:val="both"/>
      </w:pPr>
      <w:r w:rsidRPr="00BA6B80">
        <w:t xml:space="preserve">Для полиграфолога важно знать, что при тестировании на полиграфе лиц с профилем поведения по </w:t>
      </w:r>
      <w:r w:rsidRPr="00241B89">
        <w:t>типу</w:t>
      </w:r>
      <w:r w:rsidRPr="00BA6B80">
        <w:rPr>
          <w:b/>
        </w:rPr>
        <w:t xml:space="preserve"> «А»</w:t>
      </w:r>
      <w:r w:rsidRPr="00BA6B80">
        <w:t xml:space="preserve"> увеличивается вероятность ложноположительной ошибки</w:t>
      </w:r>
      <w:r>
        <w:t xml:space="preserve"> (или обвинение непричастного)</w:t>
      </w:r>
      <w:r w:rsidRPr="00BA6B80">
        <w:t xml:space="preserve">, а для лиц с поведением по </w:t>
      </w:r>
      <w:r w:rsidRPr="00241B89">
        <w:t>типу</w:t>
      </w:r>
      <w:r w:rsidRPr="00BA6B80">
        <w:rPr>
          <w:b/>
        </w:rPr>
        <w:t xml:space="preserve"> «В»</w:t>
      </w:r>
      <w:r w:rsidRPr="00BA6B80">
        <w:t xml:space="preserve"> - ложноотрицательной</w:t>
      </w:r>
      <w:r>
        <w:t xml:space="preserve"> ошибки (или оправдание причастного)</w:t>
      </w:r>
      <w:r w:rsidRPr="00BA6B80">
        <w:t xml:space="preserve">. Кроме того, неискренние </w:t>
      </w:r>
      <w:r>
        <w:t>тестируемые</w:t>
      </w:r>
      <w:r w:rsidRPr="008E0FAD">
        <w:t xml:space="preserve"> </w:t>
      </w:r>
      <w:r w:rsidRPr="00BA6B80">
        <w:t xml:space="preserve">с профилем поведения по типу </w:t>
      </w:r>
      <w:r w:rsidRPr="00241B89">
        <w:rPr>
          <w:b/>
        </w:rPr>
        <w:t>«А»</w:t>
      </w:r>
      <w:r w:rsidRPr="00BA6B80">
        <w:t xml:space="preserve"> легче поддаются психологическому воздействию в ходе заключительного </w:t>
      </w:r>
      <w:r>
        <w:t>собеседования по результатам тестирования на полиграфе</w:t>
      </w:r>
      <w:r w:rsidRPr="00BA6B80">
        <w:t>.</w:t>
      </w:r>
    </w:p>
    <w:p w:rsidR="00F67982" w:rsidRPr="00241B89" w:rsidRDefault="00F67982" w:rsidP="00F67982">
      <w:pPr>
        <w:shd w:val="clear" w:color="auto" w:fill="FFFFFF"/>
        <w:spacing w:before="240" w:after="120" w:line="245" w:lineRule="exact"/>
        <w:ind w:left="425"/>
        <w:jc w:val="center"/>
        <w:rPr>
          <w:b/>
          <w:i/>
        </w:rPr>
      </w:pPr>
      <w:r w:rsidRPr="00241B89">
        <w:rPr>
          <w:b/>
          <w:i/>
        </w:rPr>
        <w:t xml:space="preserve">Освоение </w:t>
      </w:r>
      <w:r>
        <w:rPr>
          <w:b/>
          <w:i/>
        </w:rPr>
        <w:t>проведения</w:t>
      </w:r>
      <w:r w:rsidRPr="003D1E18">
        <w:rPr>
          <w:b/>
          <w:i/>
        </w:rPr>
        <w:t xml:space="preserve"> </w:t>
      </w:r>
      <w:r>
        <w:rPr>
          <w:b/>
          <w:i/>
        </w:rPr>
        <w:t>О</w:t>
      </w:r>
      <w:r w:rsidRPr="003D1E18">
        <w:rPr>
          <w:b/>
          <w:i/>
        </w:rPr>
        <w:t>знакомительных тестов</w:t>
      </w:r>
    </w:p>
    <w:p w:rsidR="00F67982" w:rsidRPr="00567A64" w:rsidRDefault="00F67982" w:rsidP="00F67982">
      <w:pPr>
        <w:shd w:val="clear" w:color="auto" w:fill="FFFFFF"/>
        <w:spacing w:line="245" w:lineRule="exact"/>
        <w:ind w:left="29" w:firstLine="680"/>
        <w:jc w:val="both"/>
        <w:rPr>
          <w:b/>
        </w:rPr>
      </w:pPr>
      <w:r w:rsidRPr="004B2730">
        <w:rPr>
          <w:color w:val="000000"/>
          <w:spacing w:val="-2"/>
        </w:rPr>
        <w:t xml:space="preserve">К служебным тестам, которые играют вспомогательную роль и обеспечивают </w:t>
      </w:r>
      <w:r w:rsidRPr="00241B89">
        <w:rPr>
          <w:iCs/>
          <w:color w:val="000000"/>
          <w:spacing w:val="-2"/>
        </w:rPr>
        <w:t xml:space="preserve">методическую </w:t>
      </w:r>
      <w:r w:rsidRPr="00241B89">
        <w:rPr>
          <w:iCs/>
          <w:color w:val="000000"/>
        </w:rPr>
        <w:t xml:space="preserve">корректность </w:t>
      </w:r>
      <w:r w:rsidRPr="004B2730">
        <w:rPr>
          <w:color w:val="000000"/>
        </w:rPr>
        <w:t xml:space="preserve">всей </w:t>
      </w:r>
      <w:r>
        <w:rPr>
          <w:color w:val="000000"/>
        </w:rPr>
        <w:t>дальнейшей процедуры</w:t>
      </w:r>
      <w:r w:rsidRPr="004B2730">
        <w:rPr>
          <w:color w:val="000000"/>
        </w:rPr>
        <w:t xml:space="preserve"> </w:t>
      </w:r>
      <w:r>
        <w:t>тестирования</w:t>
      </w:r>
      <w:r w:rsidRPr="004B2730">
        <w:rPr>
          <w:color w:val="000000"/>
        </w:rPr>
        <w:t xml:space="preserve">, относятся </w:t>
      </w:r>
      <w:r>
        <w:rPr>
          <w:i/>
        </w:rPr>
        <w:t>О</w:t>
      </w:r>
      <w:r w:rsidRPr="003D1E18">
        <w:rPr>
          <w:i/>
        </w:rPr>
        <w:t>знакомительные</w:t>
      </w:r>
      <w:r w:rsidRPr="003D1E18">
        <w:rPr>
          <w:i/>
          <w:iCs/>
          <w:color w:val="000000"/>
          <w:spacing w:val="-4"/>
        </w:rPr>
        <w:t xml:space="preserve"> тесты</w:t>
      </w:r>
      <w:r>
        <w:rPr>
          <w:i/>
          <w:iCs/>
          <w:color w:val="000000"/>
          <w:spacing w:val="-4"/>
        </w:rPr>
        <w:t xml:space="preserve"> (О</w:t>
      </w:r>
      <w:r w:rsidRPr="004B2730">
        <w:rPr>
          <w:i/>
          <w:iCs/>
          <w:color w:val="000000"/>
          <w:spacing w:val="-4"/>
        </w:rPr>
        <w:t>Т)</w:t>
      </w:r>
      <w:r>
        <w:rPr>
          <w:i/>
          <w:iCs/>
          <w:color w:val="000000"/>
          <w:spacing w:val="-4"/>
        </w:rPr>
        <w:t>.</w:t>
      </w:r>
    </w:p>
    <w:p w:rsidR="00F67982" w:rsidRPr="00567A64" w:rsidRDefault="00F67982" w:rsidP="00F67982">
      <w:pPr>
        <w:ind w:firstLine="709"/>
        <w:jc w:val="both"/>
      </w:pPr>
      <w:r>
        <w:t>Необходимость проведения</w:t>
      </w:r>
      <w:r w:rsidRPr="00567A64">
        <w:t xml:space="preserve"> </w:t>
      </w:r>
      <w:r>
        <w:t>ОТ</w:t>
      </w:r>
      <w:r w:rsidRPr="00567A64">
        <w:t xml:space="preserve"> в </w:t>
      </w:r>
      <w:r>
        <w:t xml:space="preserve">самом </w:t>
      </w:r>
      <w:r w:rsidRPr="00567A64">
        <w:t>начале тестирования на полиграфе</w:t>
      </w:r>
      <w:r>
        <w:t xml:space="preserve"> определяется тем, что он</w:t>
      </w:r>
      <w:r w:rsidRPr="00567A64">
        <w:t>:</w:t>
      </w:r>
    </w:p>
    <w:p w:rsidR="00F67982" w:rsidRPr="00567A64" w:rsidRDefault="00F67982" w:rsidP="00F67982">
      <w:pPr>
        <w:numPr>
          <w:ilvl w:val="0"/>
          <w:numId w:val="1"/>
        </w:numPr>
        <w:tabs>
          <w:tab w:val="clear" w:pos="1429"/>
          <w:tab w:val="num" w:pos="993"/>
        </w:tabs>
        <w:ind w:left="992" w:hanging="425"/>
        <w:jc w:val="both"/>
      </w:pPr>
      <w:r w:rsidRPr="00567A64">
        <w:t>способствует адапта</w:t>
      </w:r>
      <w:r>
        <w:t>ции тестируемого</w:t>
      </w:r>
      <w:r w:rsidRPr="008E0FAD">
        <w:t xml:space="preserve"> </w:t>
      </w:r>
      <w:r>
        <w:t>к процедуре тестирования на полиграфе</w:t>
      </w:r>
      <w:r w:rsidRPr="00567A64">
        <w:t>;</w:t>
      </w:r>
    </w:p>
    <w:p w:rsidR="00F67982" w:rsidRPr="00567A64" w:rsidRDefault="00F67982" w:rsidP="00F67982">
      <w:pPr>
        <w:numPr>
          <w:ilvl w:val="0"/>
          <w:numId w:val="1"/>
        </w:numPr>
        <w:tabs>
          <w:tab w:val="clear" w:pos="1429"/>
          <w:tab w:val="num" w:pos="993"/>
        </w:tabs>
        <w:ind w:left="992" w:hanging="425"/>
        <w:jc w:val="both"/>
      </w:pPr>
      <w:r w:rsidRPr="00567A64">
        <w:t xml:space="preserve">позволяет оценить общую реактивность </w:t>
      </w:r>
      <w:r>
        <w:t>тестируемого</w:t>
      </w:r>
      <w:r w:rsidRPr="00567A64">
        <w:t>;</w:t>
      </w:r>
    </w:p>
    <w:p w:rsidR="00F67982" w:rsidRPr="00567A64" w:rsidRDefault="00F67982" w:rsidP="00F67982">
      <w:pPr>
        <w:numPr>
          <w:ilvl w:val="0"/>
          <w:numId w:val="1"/>
        </w:numPr>
        <w:tabs>
          <w:tab w:val="clear" w:pos="1429"/>
          <w:tab w:val="num" w:pos="993"/>
        </w:tabs>
        <w:ind w:left="992" w:hanging="425"/>
        <w:jc w:val="both"/>
      </w:pPr>
      <w:r w:rsidRPr="00567A64">
        <w:t xml:space="preserve">стабилизирует динамику физиологических показателей перед предъявлением </w:t>
      </w:r>
      <w:r>
        <w:t xml:space="preserve">основных </w:t>
      </w:r>
      <w:r w:rsidRPr="00567A64">
        <w:t>проверочных тестов;</w:t>
      </w:r>
    </w:p>
    <w:p w:rsidR="00F67982" w:rsidRPr="00567A64" w:rsidRDefault="00F67982" w:rsidP="00F67982">
      <w:pPr>
        <w:numPr>
          <w:ilvl w:val="0"/>
          <w:numId w:val="1"/>
        </w:numPr>
        <w:tabs>
          <w:tab w:val="clear" w:pos="1429"/>
          <w:tab w:val="num" w:pos="993"/>
        </w:tabs>
        <w:ind w:left="992" w:hanging="425"/>
        <w:jc w:val="both"/>
      </w:pPr>
      <w:r w:rsidRPr="00567A64">
        <w:t xml:space="preserve">укрепляет уверенность добросовестного </w:t>
      </w:r>
      <w:r>
        <w:t>тестируемого</w:t>
      </w:r>
      <w:r w:rsidRPr="00567A64">
        <w:t xml:space="preserve"> в эффективности метода, нормализуя его психофизиологическое состояние;</w:t>
      </w:r>
    </w:p>
    <w:p w:rsidR="00F67982" w:rsidRPr="00567A64" w:rsidRDefault="00F67982" w:rsidP="00F67982">
      <w:pPr>
        <w:numPr>
          <w:ilvl w:val="0"/>
          <w:numId w:val="1"/>
        </w:numPr>
        <w:tabs>
          <w:tab w:val="clear" w:pos="1429"/>
          <w:tab w:val="num" w:pos="993"/>
        </w:tabs>
        <w:ind w:left="992" w:hanging="425"/>
        <w:jc w:val="both"/>
      </w:pPr>
      <w:r w:rsidRPr="00567A64">
        <w:t xml:space="preserve">повышает уровень тревожности у </w:t>
      </w:r>
      <w:r>
        <w:t>тестируемых</w:t>
      </w:r>
      <w:r w:rsidRPr="00567A64">
        <w:t>, незаинтересованных в объективном исходе проверки, способствуя усилению в последующем их реакций, связанных с ложью;</w:t>
      </w:r>
    </w:p>
    <w:p w:rsidR="00F67982" w:rsidRPr="00567A64" w:rsidRDefault="00F67982" w:rsidP="00F67982">
      <w:pPr>
        <w:numPr>
          <w:ilvl w:val="0"/>
          <w:numId w:val="1"/>
        </w:numPr>
        <w:tabs>
          <w:tab w:val="clear" w:pos="1429"/>
          <w:tab w:val="num" w:pos="993"/>
        </w:tabs>
        <w:ind w:left="992" w:hanging="425"/>
        <w:jc w:val="both"/>
      </w:pPr>
      <w:r w:rsidRPr="00567A64">
        <w:t xml:space="preserve">помогает выявить приемы противодействия, которые может применять </w:t>
      </w:r>
      <w:r>
        <w:t>тестируемый</w:t>
      </w:r>
      <w:r w:rsidRPr="00567A64">
        <w:t>;</w:t>
      </w:r>
    </w:p>
    <w:p w:rsidR="00F67982" w:rsidRPr="00567A64" w:rsidRDefault="00F67982" w:rsidP="00F67982">
      <w:pPr>
        <w:numPr>
          <w:ilvl w:val="0"/>
          <w:numId w:val="1"/>
        </w:numPr>
        <w:tabs>
          <w:tab w:val="clear" w:pos="1429"/>
          <w:tab w:val="num" w:pos="993"/>
        </w:tabs>
        <w:ind w:left="992" w:hanging="425"/>
        <w:jc w:val="both"/>
      </w:pPr>
      <w:r w:rsidRPr="00567A64">
        <w:t>позволяет повысить качество настройки полиграфа в каждом конкретном случае.</w:t>
      </w:r>
    </w:p>
    <w:p w:rsidR="00F67982" w:rsidRPr="00567A64" w:rsidRDefault="00F67982" w:rsidP="00F67982">
      <w:pPr>
        <w:spacing w:before="120"/>
        <w:ind w:firstLine="709"/>
        <w:jc w:val="both"/>
      </w:pPr>
      <w:r w:rsidRPr="00567A64">
        <w:t xml:space="preserve">Для решения задач, стоящих перед </w:t>
      </w:r>
      <w:r>
        <w:t>О</w:t>
      </w:r>
      <w:r w:rsidRPr="00567A64">
        <w:t xml:space="preserve">Т, </w:t>
      </w:r>
      <w:r>
        <w:t>можно</w:t>
      </w:r>
      <w:r w:rsidRPr="00567A64">
        <w:t xml:space="preserve"> использовать нейтральные вопросы биографического характера (например, включающие перечень имен,</w:t>
      </w:r>
      <w:r>
        <w:t xml:space="preserve"> фамилий, года</w:t>
      </w:r>
      <w:r w:rsidRPr="00567A64">
        <w:t xml:space="preserve"> или мест</w:t>
      </w:r>
      <w:r>
        <w:t>а</w:t>
      </w:r>
      <w:r w:rsidRPr="00567A64">
        <w:t xml:space="preserve"> рождения), объединяя их в тест из 4-5 </w:t>
      </w:r>
      <w:r>
        <w:t>стимулов</w:t>
      </w:r>
      <w:r w:rsidRPr="00567A64">
        <w:t xml:space="preserve"> по принципу тематической однородности. </w:t>
      </w:r>
      <w:r>
        <w:t xml:space="preserve">Однако в целях стандартизации процедуры проведения ОТ рекомендуется использовать ряд цифр, одну из которых тестируемый выбирает самостоятельно. </w:t>
      </w:r>
      <w:r w:rsidRPr="00567A64">
        <w:t xml:space="preserve">Перед предъявлением </w:t>
      </w:r>
      <w:r>
        <w:t>ОТ, целью которого является сокрытие</w:t>
      </w:r>
      <w:r w:rsidRPr="00567A64">
        <w:t xml:space="preserve"> </w:t>
      </w:r>
      <w:r>
        <w:t>выбранной цифру,</w:t>
      </w:r>
      <w:r w:rsidRPr="00567A64">
        <w:t xml:space="preserve"> </w:t>
      </w:r>
      <w:r>
        <w:t>тестируемому</w:t>
      </w:r>
      <w:r w:rsidRPr="008E0FAD">
        <w:t xml:space="preserve"> </w:t>
      </w:r>
      <w:r w:rsidRPr="00567A64">
        <w:t>да</w:t>
      </w:r>
      <w:r>
        <w:t>ется инструкция</w:t>
      </w:r>
      <w:r w:rsidRPr="00567A64">
        <w:t xml:space="preserve"> отве</w:t>
      </w:r>
      <w:r>
        <w:t>чать</w:t>
      </w:r>
      <w:r w:rsidRPr="00567A64">
        <w:t xml:space="preserve"> </w:t>
      </w:r>
      <w:r>
        <w:t xml:space="preserve">«Нет» </w:t>
      </w:r>
      <w:r w:rsidRPr="00567A64">
        <w:t xml:space="preserve">на </w:t>
      </w:r>
      <w:r>
        <w:t>все предъявляемые ему цифры.</w:t>
      </w:r>
    </w:p>
    <w:p w:rsidR="00F67982" w:rsidRPr="00567A64" w:rsidRDefault="00F67982" w:rsidP="00F67982">
      <w:pPr>
        <w:ind w:firstLine="709"/>
        <w:jc w:val="both"/>
      </w:pPr>
      <w:r>
        <w:t>О</w:t>
      </w:r>
      <w:r w:rsidRPr="00567A64">
        <w:t>Т не рекомендуется выполнять в виде так называемого «угадывания», когда по</w:t>
      </w:r>
      <w:r>
        <w:t>лиграфолог</w:t>
      </w:r>
      <w:r w:rsidRPr="00567A64">
        <w:t xml:space="preserve"> предлагает </w:t>
      </w:r>
      <w:r>
        <w:t>тестируемому</w:t>
      </w:r>
      <w:r w:rsidRPr="00567A64">
        <w:t xml:space="preserve"> вынуть из непрозрачного конверта одну из карточек (карточки могут быть с цифрами, геометрическими фигурами, иметь различные цвета и т.п.), запомнить ее содержимое и убрать в карман одежды так, чтобы полиграфолог не видел, какая именно карточка выбрана. Случайная ошибка полиграфолога при анализе такого теста может заставить усомниться </w:t>
      </w:r>
      <w:r>
        <w:t>тестируемого</w:t>
      </w:r>
      <w:r w:rsidRPr="00567A64">
        <w:t xml:space="preserve"> в </w:t>
      </w:r>
      <w:r>
        <w:t xml:space="preserve">компетентности полиграфолога и </w:t>
      </w:r>
      <w:r w:rsidRPr="00567A64">
        <w:t xml:space="preserve">объективности всех </w:t>
      </w:r>
      <w:r>
        <w:t xml:space="preserve">полученных </w:t>
      </w:r>
      <w:r w:rsidRPr="00567A64">
        <w:t>результатов.</w:t>
      </w:r>
    </w:p>
    <w:p w:rsidR="00F67982" w:rsidRPr="00201E6A" w:rsidRDefault="00F67982" w:rsidP="00F67982">
      <w:pPr>
        <w:shd w:val="clear" w:color="auto" w:fill="FFFFFF"/>
        <w:spacing w:before="120" w:after="120" w:line="245" w:lineRule="exact"/>
        <w:jc w:val="both"/>
        <w:rPr>
          <w:b/>
          <w:color w:val="000000"/>
          <w:spacing w:val="2"/>
        </w:rPr>
      </w:pPr>
      <w:r w:rsidRPr="00EF1E24">
        <w:rPr>
          <w:b/>
          <w:color w:val="000000"/>
          <w:spacing w:val="2"/>
        </w:rPr>
        <w:t>Тест на определение</w:t>
      </w:r>
      <w:r>
        <w:rPr>
          <w:b/>
          <w:color w:val="000000"/>
          <w:spacing w:val="2"/>
        </w:rPr>
        <w:t xml:space="preserve"> выбранной</w:t>
      </w:r>
      <w:r w:rsidRPr="00EF1E24">
        <w:rPr>
          <w:b/>
          <w:color w:val="000000"/>
          <w:spacing w:val="2"/>
        </w:rPr>
        <w:t xml:space="preserve"> цифры:</w:t>
      </w:r>
    </w:p>
    <w:p w:rsidR="00F67982" w:rsidRPr="001072B9" w:rsidRDefault="00F67982" w:rsidP="00F67982">
      <w:pPr>
        <w:numPr>
          <w:ilvl w:val="0"/>
          <w:numId w:val="2"/>
        </w:numPr>
        <w:shd w:val="clear" w:color="auto" w:fill="FFFFFF"/>
        <w:jc w:val="both"/>
        <w:rPr>
          <w:bCs/>
          <w:color w:val="000000"/>
          <w:spacing w:val="2"/>
        </w:rPr>
      </w:pPr>
      <w:r>
        <w:rPr>
          <w:color w:val="000000"/>
          <w:spacing w:val="2"/>
        </w:rPr>
        <w:t>Тестируемый</w:t>
      </w:r>
      <w:r w:rsidRPr="001072B9">
        <w:rPr>
          <w:color w:val="000000"/>
          <w:spacing w:val="2"/>
        </w:rPr>
        <w:t xml:space="preserve"> выбирает число от 2 до</w:t>
      </w:r>
      <w:r>
        <w:rPr>
          <w:color w:val="000000"/>
          <w:spacing w:val="2"/>
        </w:rPr>
        <w:t xml:space="preserve"> </w:t>
      </w:r>
      <w:r w:rsidRPr="001072B9">
        <w:rPr>
          <w:color w:val="000000"/>
          <w:spacing w:val="2"/>
        </w:rPr>
        <w:t xml:space="preserve">7 и крупно пишет </w:t>
      </w:r>
      <w:r>
        <w:rPr>
          <w:color w:val="000000"/>
          <w:spacing w:val="2"/>
        </w:rPr>
        <w:t>его</w:t>
      </w:r>
      <w:r w:rsidRPr="001072B9">
        <w:rPr>
          <w:color w:val="000000"/>
          <w:spacing w:val="2"/>
        </w:rPr>
        <w:t xml:space="preserve"> на </w:t>
      </w:r>
      <w:r>
        <w:rPr>
          <w:color w:val="000000"/>
          <w:spacing w:val="2"/>
        </w:rPr>
        <w:t>чистом листе бумаги</w:t>
      </w:r>
      <w:r w:rsidRPr="001072B9">
        <w:rPr>
          <w:color w:val="000000"/>
          <w:spacing w:val="2"/>
        </w:rPr>
        <w:t>.</w:t>
      </w:r>
    </w:p>
    <w:p w:rsidR="00F67982" w:rsidRPr="001072B9" w:rsidRDefault="00F67982" w:rsidP="00F67982">
      <w:pPr>
        <w:numPr>
          <w:ilvl w:val="0"/>
          <w:numId w:val="2"/>
        </w:numPr>
        <w:shd w:val="clear" w:color="auto" w:fill="FFFFFF"/>
        <w:jc w:val="both"/>
        <w:rPr>
          <w:bCs/>
          <w:color w:val="000000"/>
          <w:spacing w:val="2"/>
        </w:rPr>
      </w:pPr>
      <w:r w:rsidRPr="001072B9">
        <w:rPr>
          <w:color w:val="000000"/>
          <w:spacing w:val="2"/>
        </w:rPr>
        <w:t xml:space="preserve">Карточка с написанным числом </w:t>
      </w:r>
      <w:r>
        <w:rPr>
          <w:color w:val="000000"/>
          <w:spacing w:val="2"/>
        </w:rPr>
        <w:t>располагается</w:t>
      </w:r>
      <w:r w:rsidRPr="001072B9">
        <w:rPr>
          <w:color w:val="000000"/>
          <w:spacing w:val="2"/>
        </w:rPr>
        <w:t xml:space="preserve"> перед глазами </w:t>
      </w:r>
      <w:r>
        <w:rPr>
          <w:color w:val="000000"/>
          <w:spacing w:val="2"/>
        </w:rPr>
        <w:t>тестируемого</w:t>
      </w:r>
      <w:r w:rsidRPr="001072B9">
        <w:rPr>
          <w:color w:val="000000"/>
          <w:spacing w:val="2"/>
        </w:rPr>
        <w:t>.</w:t>
      </w:r>
    </w:p>
    <w:p w:rsidR="00F67982" w:rsidRPr="001072B9" w:rsidRDefault="00F67982" w:rsidP="00F67982">
      <w:pPr>
        <w:numPr>
          <w:ilvl w:val="0"/>
          <w:numId w:val="2"/>
        </w:numPr>
        <w:shd w:val="clear" w:color="auto" w:fill="FFFFFF"/>
        <w:jc w:val="both"/>
        <w:rPr>
          <w:bCs/>
          <w:color w:val="000000"/>
          <w:spacing w:val="2"/>
        </w:rPr>
      </w:pPr>
      <w:r>
        <w:rPr>
          <w:color w:val="000000"/>
          <w:spacing w:val="2"/>
        </w:rPr>
        <w:t>Тестируемому</w:t>
      </w:r>
      <w:r w:rsidRPr="001072B9">
        <w:rPr>
          <w:color w:val="000000"/>
          <w:spacing w:val="2"/>
        </w:rPr>
        <w:t xml:space="preserve"> предлагают</w:t>
      </w:r>
      <w:r>
        <w:rPr>
          <w:color w:val="000000"/>
          <w:spacing w:val="2"/>
        </w:rPr>
        <w:t xml:space="preserve"> отвечать «Нет» на все называемые цифры</w:t>
      </w:r>
      <w:r w:rsidRPr="001072B9">
        <w:rPr>
          <w:color w:val="000000"/>
          <w:spacing w:val="2"/>
        </w:rPr>
        <w:t>.</w:t>
      </w:r>
    </w:p>
    <w:p w:rsidR="00F67982" w:rsidRPr="001072B9" w:rsidRDefault="00F67982" w:rsidP="00F67982">
      <w:pPr>
        <w:numPr>
          <w:ilvl w:val="0"/>
          <w:numId w:val="2"/>
        </w:numPr>
        <w:shd w:val="clear" w:color="auto" w:fill="FFFFFF"/>
        <w:jc w:val="both"/>
        <w:rPr>
          <w:bCs/>
          <w:color w:val="000000"/>
          <w:spacing w:val="2"/>
        </w:rPr>
      </w:pPr>
      <w:r w:rsidRPr="001072B9">
        <w:rPr>
          <w:color w:val="000000"/>
          <w:spacing w:val="2"/>
        </w:rPr>
        <w:lastRenderedPageBreak/>
        <w:t xml:space="preserve">Тест предъявляется </w:t>
      </w:r>
      <w:r>
        <w:rPr>
          <w:color w:val="000000"/>
          <w:spacing w:val="2"/>
        </w:rPr>
        <w:t>не менее 3-х раз</w:t>
      </w:r>
      <w:r w:rsidRPr="001072B9">
        <w:rPr>
          <w:color w:val="000000"/>
          <w:spacing w:val="2"/>
        </w:rPr>
        <w:t xml:space="preserve">, о чем </w:t>
      </w:r>
      <w:r>
        <w:rPr>
          <w:color w:val="000000"/>
          <w:spacing w:val="2"/>
        </w:rPr>
        <w:t>тестируемый</w:t>
      </w:r>
      <w:r w:rsidRPr="001072B9">
        <w:rPr>
          <w:color w:val="000000"/>
          <w:spacing w:val="2"/>
        </w:rPr>
        <w:t xml:space="preserve"> заранее предупреждается.</w:t>
      </w:r>
    </w:p>
    <w:p w:rsidR="00F67982" w:rsidRPr="005378BA" w:rsidRDefault="00F67982" w:rsidP="00F67982">
      <w:pPr>
        <w:shd w:val="clear" w:color="auto" w:fill="FFFFFF"/>
        <w:spacing w:after="120"/>
        <w:ind w:left="284"/>
        <w:jc w:val="both"/>
        <w:rPr>
          <w:bCs/>
          <w:color w:val="000000"/>
          <w:spacing w:val="2"/>
        </w:rPr>
      </w:pPr>
      <w:r w:rsidRPr="005378BA">
        <w:rPr>
          <w:color w:val="000000"/>
          <w:spacing w:val="2"/>
        </w:rPr>
        <w:t>Порядок предъявления цифр в каждом предъявлении должен меняться</w:t>
      </w:r>
      <w:r>
        <w:rPr>
          <w:color w:val="000000"/>
          <w:spacing w:val="2"/>
        </w:rPr>
        <w:t>.</w:t>
      </w:r>
    </w:p>
    <w:p w:rsidR="00F67982" w:rsidRPr="00810BB8" w:rsidRDefault="00F67982" w:rsidP="00F67982">
      <w:pPr>
        <w:shd w:val="clear" w:color="auto" w:fill="FFFFFF"/>
        <w:spacing w:before="120"/>
        <w:ind w:left="709" w:hanging="709"/>
        <w:jc w:val="both"/>
        <w:rPr>
          <w:bCs/>
          <w:color w:val="000000"/>
          <w:spacing w:val="2"/>
        </w:rPr>
      </w:pPr>
      <w:r w:rsidRPr="00B70AEF">
        <w:rPr>
          <w:b/>
          <w:i/>
          <w:iCs/>
          <w:color w:val="000000"/>
          <w:spacing w:val="2"/>
        </w:rPr>
        <w:t xml:space="preserve">Инструкция для </w:t>
      </w:r>
      <w:r w:rsidRPr="002F5F25">
        <w:rPr>
          <w:b/>
          <w:color w:val="000000"/>
          <w:spacing w:val="2"/>
        </w:rPr>
        <w:t>тестируемого</w:t>
      </w:r>
      <w:r w:rsidRPr="00B70AEF">
        <w:rPr>
          <w:b/>
          <w:i/>
          <w:iCs/>
          <w:color w:val="000000"/>
          <w:spacing w:val="2"/>
        </w:rPr>
        <w:t>:</w:t>
      </w:r>
      <w:r>
        <w:rPr>
          <w:i/>
          <w:iCs/>
          <w:color w:val="000000"/>
          <w:spacing w:val="2"/>
        </w:rPr>
        <w:t xml:space="preserve"> </w:t>
      </w:r>
      <w:r w:rsidRPr="001274FA">
        <w:rPr>
          <w:i/>
          <w:iCs/>
          <w:color w:val="000000"/>
          <w:spacing w:val="2"/>
        </w:rPr>
        <w:t>«</w:t>
      </w:r>
      <w:r w:rsidRPr="001274FA">
        <w:rPr>
          <w:i/>
          <w:color w:val="000000"/>
          <w:spacing w:val="2"/>
        </w:rPr>
        <w:t>Сейчас я продемонстрирую вам, как работает полиграф. Вы сможете привыкнуть к датчикам, установленным на вашем теле, познакомиться с процедурой, а я смогу настроить прибор и подготовить его к проведе</w:t>
      </w:r>
      <w:r>
        <w:rPr>
          <w:i/>
          <w:color w:val="000000"/>
          <w:spacing w:val="2"/>
        </w:rPr>
        <w:t xml:space="preserve">нию других тестов. Кроме </w:t>
      </w:r>
      <w:r w:rsidRPr="001274FA">
        <w:rPr>
          <w:i/>
          <w:color w:val="000000"/>
          <w:spacing w:val="2"/>
        </w:rPr>
        <w:t>того, тест покажет мне, насколько выражены ваши физиологические реакции в тот момент, когда вы осознанно лжете, отвечая на мои вопросы</w:t>
      </w:r>
      <w:r>
        <w:rPr>
          <w:i/>
          <w:color w:val="000000"/>
          <w:spacing w:val="2"/>
        </w:rPr>
        <w:t>, или скрываете известную Вам информацию</w:t>
      </w:r>
      <w:r w:rsidRPr="001274FA">
        <w:rPr>
          <w:i/>
          <w:color w:val="000000"/>
          <w:spacing w:val="2"/>
        </w:rPr>
        <w:t>»</w:t>
      </w:r>
      <w:r w:rsidRPr="001072B9">
        <w:rPr>
          <w:color w:val="000000"/>
          <w:spacing w:val="2"/>
        </w:rPr>
        <w:t>.</w:t>
      </w:r>
    </w:p>
    <w:p w:rsidR="00F67982" w:rsidRPr="001072B9" w:rsidRDefault="00F67982" w:rsidP="00F67982">
      <w:pPr>
        <w:shd w:val="clear" w:color="auto" w:fill="FFFFFF"/>
        <w:spacing w:before="120"/>
        <w:ind w:left="709" w:hanging="709"/>
        <w:jc w:val="both"/>
        <w:rPr>
          <w:bCs/>
          <w:color w:val="000000"/>
          <w:spacing w:val="2"/>
        </w:rPr>
      </w:pPr>
      <w:r w:rsidRPr="00205CF4">
        <w:rPr>
          <w:b/>
          <w:i/>
          <w:iCs/>
          <w:color w:val="000000"/>
          <w:spacing w:val="2"/>
        </w:rPr>
        <w:t>Обсуждение результатов:</w:t>
      </w:r>
      <w:r>
        <w:rPr>
          <w:b/>
          <w:i/>
          <w:iCs/>
          <w:color w:val="000000"/>
          <w:spacing w:val="2"/>
        </w:rPr>
        <w:t xml:space="preserve"> </w:t>
      </w:r>
      <w:r>
        <w:rPr>
          <w:color w:val="000000"/>
          <w:spacing w:val="2"/>
        </w:rPr>
        <w:t>М</w:t>
      </w:r>
      <w:r w:rsidRPr="001072B9">
        <w:rPr>
          <w:color w:val="000000"/>
          <w:spacing w:val="2"/>
        </w:rPr>
        <w:t>ы получили отличный результат. Он убедительно показывает</w:t>
      </w:r>
      <w:r>
        <w:rPr>
          <w:color w:val="000000"/>
          <w:spacing w:val="2"/>
        </w:rPr>
        <w:t xml:space="preserve">, </w:t>
      </w:r>
      <w:proofErr w:type="gramStart"/>
      <w:r>
        <w:rPr>
          <w:color w:val="000000"/>
          <w:spacing w:val="2"/>
        </w:rPr>
        <w:t>что</w:t>
      </w:r>
      <w:proofErr w:type="gramEnd"/>
      <w:r>
        <w:rPr>
          <w:color w:val="000000"/>
          <w:spacing w:val="2"/>
        </w:rPr>
        <w:t xml:space="preserve"> когда Вы лжете у Вас регистрируются ярко выраженные физиологические реакции. Теперь</w:t>
      </w:r>
      <w:r w:rsidRPr="001072B9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В</w:t>
      </w:r>
      <w:r w:rsidRPr="001072B9">
        <w:rPr>
          <w:color w:val="000000"/>
          <w:spacing w:val="2"/>
        </w:rPr>
        <w:t xml:space="preserve">ы знаете, что лгать – это плохо. Несмотря на то, что вы лгали по моей просьбе, и ваша ложь была незначительной, она все же вызвала у вас </w:t>
      </w:r>
      <w:r>
        <w:rPr>
          <w:color w:val="000000"/>
          <w:spacing w:val="2"/>
        </w:rPr>
        <w:t xml:space="preserve">достаточно </w:t>
      </w:r>
      <w:r w:rsidRPr="001072B9">
        <w:rPr>
          <w:color w:val="000000"/>
          <w:spacing w:val="2"/>
        </w:rPr>
        <w:t>сильные реакции. Это значит, что нам будет легко разрешить все вопросы в ходе сегодняшнего тестирования, при условии, что вы буде</w:t>
      </w:r>
      <w:r>
        <w:rPr>
          <w:color w:val="000000"/>
          <w:spacing w:val="2"/>
        </w:rPr>
        <w:t>те выполнять все мои инструкции</w:t>
      </w:r>
      <w:r w:rsidRPr="001072B9">
        <w:rPr>
          <w:color w:val="000000"/>
          <w:spacing w:val="2"/>
        </w:rPr>
        <w:t>.</w:t>
      </w:r>
    </w:p>
    <w:p w:rsidR="005145B0" w:rsidRPr="00157705" w:rsidRDefault="005145B0" w:rsidP="005145B0">
      <w:pPr>
        <w:widowControl w:val="0"/>
        <w:suppressAutoHyphens/>
        <w:jc w:val="both"/>
      </w:pPr>
      <w:bookmarkStart w:id="0" w:name="_GoBack"/>
      <w:bookmarkEnd w:id="0"/>
    </w:p>
    <w:p w:rsidR="00534989" w:rsidRDefault="00534989"/>
    <w:sectPr w:rsidR="00534989" w:rsidSect="0035684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D2763"/>
    <w:multiLevelType w:val="hybridMultilevel"/>
    <w:tmpl w:val="680883B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2B73B1"/>
    <w:multiLevelType w:val="hybridMultilevel"/>
    <w:tmpl w:val="4642D47E"/>
    <w:lvl w:ilvl="0" w:tplc="960CD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C889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CC39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8871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C680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7207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422A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72E5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FAAB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6F660E"/>
    <w:multiLevelType w:val="hybridMultilevel"/>
    <w:tmpl w:val="EF6223EE"/>
    <w:lvl w:ilvl="0" w:tplc="B88A2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DE28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8AA8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C47A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1EC3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A006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2C62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CEF9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88CE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2A3858"/>
    <w:multiLevelType w:val="hybridMultilevel"/>
    <w:tmpl w:val="78B2E91E"/>
    <w:lvl w:ilvl="0" w:tplc="BBC4C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2AA518">
      <w:numFmt w:val="none"/>
      <w:lvlText w:val=""/>
      <w:lvlJc w:val="left"/>
      <w:pPr>
        <w:tabs>
          <w:tab w:val="num" w:pos="360"/>
        </w:tabs>
      </w:pPr>
    </w:lvl>
    <w:lvl w:ilvl="2" w:tplc="3A424960">
      <w:numFmt w:val="none"/>
      <w:lvlText w:val=""/>
      <w:lvlJc w:val="left"/>
      <w:pPr>
        <w:tabs>
          <w:tab w:val="num" w:pos="360"/>
        </w:tabs>
      </w:pPr>
    </w:lvl>
    <w:lvl w:ilvl="3" w:tplc="802EF4A8">
      <w:numFmt w:val="none"/>
      <w:lvlText w:val=""/>
      <w:lvlJc w:val="left"/>
      <w:pPr>
        <w:tabs>
          <w:tab w:val="num" w:pos="360"/>
        </w:tabs>
      </w:pPr>
    </w:lvl>
    <w:lvl w:ilvl="4" w:tplc="89FAA968">
      <w:numFmt w:val="none"/>
      <w:lvlText w:val=""/>
      <w:lvlJc w:val="left"/>
      <w:pPr>
        <w:tabs>
          <w:tab w:val="num" w:pos="360"/>
        </w:tabs>
      </w:pPr>
    </w:lvl>
    <w:lvl w:ilvl="5" w:tplc="7F2EA40C">
      <w:numFmt w:val="none"/>
      <w:lvlText w:val=""/>
      <w:lvlJc w:val="left"/>
      <w:pPr>
        <w:tabs>
          <w:tab w:val="num" w:pos="360"/>
        </w:tabs>
      </w:pPr>
    </w:lvl>
    <w:lvl w:ilvl="6" w:tplc="0A863014">
      <w:numFmt w:val="none"/>
      <w:lvlText w:val=""/>
      <w:lvlJc w:val="left"/>
      <w:pPr>
        <w:tabs>
          <w:tab w:val="num" w:pos="360"/>
        </w:tabs>
      </w:pPr>
    </w:lvl>
    <w:lvl w:ilvl="7" w:tplc="D2708BEE">
      <w:numFmt w:val="none"/>
      <w:lvlText w:val=""/>
      <w:lvlJc w:val="left"/>
      <w:pPr>
        <w:tabs>
          <w:tab w:val="num" w:pos="360"/>
        </w:tabs>
      </w:pPr>
    </w:lvl>
    <w:lvl w:ilvl="8" w:tplc="CF98AE0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B0"/>
    <w:rsid w:val="00356843"/>
    <w:rsid w:val="005145B0"/>
    <w:rsid w:val="00534989"/>
    <w:rsid w:val="00F6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5FE2926D-ABF9-450D-BE70-9A802BCA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5B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1057</Words>
  <Characters>6031</Characters>
  <Application>Microsoft Office Word</Application>
  <DocSecurity>0</DocSecurity>
  <Lines>50</Lines>
  <Paragraphs>14</Paragraphs>
  <ScaleCrop>false</ScaleCrop>
  <Company/>
  <LinksUpToDate>false</LinksUpToDate>
  <CharactersWithSpaces>7074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Anna</cp:lastModifiedBy>
  <cp:revision>2</cp:revision>
  <dcterms:created xsi:type="dcterms:W3CDTF">2016-04-21T02:03:00Z</dcterms:created>
  <dcterms:modified xsi:type="dcterms:W3CDTF">2016-04-22T11:44:00Z</dcterms:modified>
</cp:coreProperties>
</file>